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D5" w:rsidRDefault="00E379D5" w:rsidP="00E379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0B1310" w:rsidRPr="000B1310">
        <w:rPr>
          <w:rFonts w:ascii="Times New Roman" w:hAnsi="Times New Roman"/>
          <w:sz w:val="26"/>
          <w:szCs w:val="26"/>
        </w:rPr>
        <w:t>Утвержд</w:t>
      </w:r>
      <w:r>
        <w:rPr>
          <w:rFonts w:ascii="Times New Roman" w:hAnsi="Times New Roman"/>
          <w:sz w:val="26"/>
          <w:szCs w:val="26"/>
        </w:rPr>
        <w:t xml:space="preserve">ен Постановлением </w:t>
      </w:r>
    </w:p>
    <w:p w:rsidR="000B1310" w:rsidRPr="000B1310" w:rsidRDefault="00E379D5" w:rsidP="00E379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  <w:r w:rsidR="000B1310" w:rsidRPr="000B1310">
        <w:rPr>
          <w:rFonts w:ascii="Times New Roman" w:hAnsi="Times New Roman"/>
          <w:sz w:val="26"/>
          <w:szCs w:val="26"/>
        </w:rPr>
        <w:t xml:space="preserve"> </w:t>
      </w:r>
    </w:p>
    <w:p w:rsidR="000B1310" w:rsidRPr="00AA20AC" w:rsidRDefault="00E379D5" w:rsidP="00E379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r w:rsidR="00AA20AC" w:rsidRPr="00AA20AC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AA20AC">
        <w:rPr>
          <w:rFonts w:ascii="Times New Roman" w:hAnsi="Times New Roman"/>
          <w:sz w:val="26"/>
          <w:szCs w:val="26"/>
          <w:u w:val="single"/>
        </w:rPr>
        <w:t>г. №</w:t>
      </w:r>
      <w:r w:rsidR="00AA20AC" w:rsidRPr="00AA20AC">
        <w:rPr>
          <w:rFonts w:ascii="Times New Roman" w:hAnsi="Times New Roman"/>
          <w:sz w:val="26"/>
          <w:szCs w:val="26"/>
          <w:u w:val="single"/>
        </w:rPr>
        <w:t xml:space="preserve"> 27</w:t>
      </w:r>
      <w:bookmarkEnd w:id="0"/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E379D5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D87057" w:rsidRPr="00D87057">
        <w:rPr>
          <w:rFonts w:ascii="Times New Roman" w:hAnsi="Times New Roman"/>
          <w:b/>
          <w:sz w:val="24"/>
          <w:szCs w:val="24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E379D5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607BD0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</w:t>
            </w:r>
            <w:r w:rsidR="00D87057">
              <w:rPr>
                <w:rFonts w:ascii="Times New Roman" w:hAnsi="Times New Roman"/>
                <w:sz w:val="24"/>
                <w:szCs w:val="24"/>
              </w:rPr>
              <w:t>, усыновители, приемные родители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проживающие на территори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E379D5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E379D5" w:rsidRDefault="00620F5F" w:rsidP="00E37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на интернет-сайте</w:t>
            </w:r>
            <w:r w:rsidR="00E379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79D5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="00E379D5" w:rsidRPr="00E379D5">
              <w:rPr>
                <w:rFonts w:ascii="Times New Roman" w:hAnsi="Times New Roman"/>
                <w:sz w:val="24"/>
                <w:szCs w:val="24"/>
              </w:rPr>
              <w:t>.</w:t>
            </w:r>
            <w:r w:rsidR="00E379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едственно в отделе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</w:t>
            </w:r>
            <w:r w:rsidR="00E379D5">
              <w:rPr>
                <w:rFonts w:ascii="Times New Roman" w:hAnsi="Times New Roman"/>
                <w:sz w:val="24"/>
                <w:szCs w:val="24"/>
              </w:rPr>
              <w:t>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E379D5"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</w:t>
            </w:r>
            <w:r w:rsidR="00E379D5">
              <w:rPr>
                <w:rFonts w:ascii="Times New Roman" w:hAnsi="Times New Roman"/>
                <w:sz w:val="24"/>
                <w:szCs w:val="24"/>
              </w:rPr>
              <w:t xml:space="preserve"> 09.00 до 17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E379D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E379D5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E379D5" w:rsidRDefault="002B2F95" w:rsidP="00E379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379D5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="00E379D5" w:rsidRPr="00E379D5">
              <w:rPr>
                <w:rFonts w:ascii="Times New Roman" w:hAnsi="Times New Roman"/>
                <w:sz w:val="24"/>
                <w:szCs w:val="24"/>
                <w:lang w:val="en-US"/>
              </w:rPr>
              <w:t>8(87240)4-93-41</w:t>
            </w:r>
            <w:r w:rsidRPr="00E37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E379D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E379D5" w:rsidRPr="00E379D5">
              <w:rPr>
                <w:rFonts w:ascii="Times New Roman" w:hAnsi="Times New Roman"/>
                <w:sz w:val="24"/>
                <w:szCs w:val="24"/>
                <w:lang w:val="en-US"/>
              </w:rPr>
              <w:t>8(87240)4-90-89</w:t>
            </w:r>
            <w:r w:rsidRPr="00E37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37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E379D5" w:rsidRPr="00E379D5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E379D5" w:rsidRDefault="00BA5D87" w:rsidP="00E37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E379D5" w:rsidRPr="00E379D5">
              <w:rPr>
                <w:rFonts w:ascii="Times New Roman" w:hAnsi="Times New Roman"/>
                <w:lang w:val="en-US"/>
              </w:rPr>
              <w:t>www</w:t>
            </w:r>
            <w:r w:rsidR="00E379D5" w:rsidRPr="00E379D5">
              <w:rPr>
                <w:rFonts w:ascii="Times New Roman" w:hAnsi="Times New Roman"/>
              </w:rPr>
              <w:t>.</w:t>
            </w:r>
            <w:r w:rsidR="00E379D5" w:rsidRPr="00E379D5">
              <w:rPr>
                <w:rFonts w:ascii="Times New Roman" w:hAnsi="Times New Roman"/>
                <w:lang w:val="en-US"/>
              </w:rPr>
              <w:t>derbent</w:t>
            </w:r>
            <w:r w:rsidR="00E379D5" w:rsidRPr="00E379D5">
              <w:rPr>
                <w:rFonts w:ascii="Times New Roman" w:hAnsi="Times New Roman"/>
              </w:rPr>
              <w:t>.</w:t>
            </w:r>
            <w:r w:rsidR="00E379D5" w:rsidRPr="00E379D5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DE68F7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DE68F7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DE68F7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D870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D87057">
              <w:rPr>
                <w:rFonts w:ascii="Times New Roman" w:hAnsi="Times New Roman"/>
                <w:i/>
                <w:sz w:val="24"/>
                <w:szCs w:val="24"/>
              </w:rPr>
              <w:t xml:space="preserve"> единовременной выплаты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E379D5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назначении  единовременной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>о н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 (в ред. от 5 мая 2014 г. N 126-ФЗ);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370092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F17DB3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9475F1" w:rsidP="003700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370092">
              <w:rPr>
                <w:rFonts w:ascii="Times New Roman" w:hAnsi="Times New Roman"/>
                <w:sz w:val="24"/>
                <w:szCs w:val="24"/>
              </w:rPr>
              <w:t xml:space="preserve"> от 19.05.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1995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81 "О государственных пособиях гражданам, имеющим детей"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4 июня 2014 г. N 145-ФЗ);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370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27.07.2010г. №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700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37009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700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70092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Правительства Р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еспублики Дагестан №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124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от 26.04.2011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«О финансировании, назначении и выплате единовременных пособий при всех формах устройства детей, лишенных родительского попечения, в семью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(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в ред. Постановления Правительства РД 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от 07.02.2014 N 39)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D0492D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9475F1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заявление о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единовременного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пособия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 w:rsidR="00F17DB3">
              <w:rPr>
                <w:rFonts w:ascii="Times New Roman" w:hAnsi="Times New Roman"/>
                <w:sz w:val="24"/>
                <w:szCs w:val="24"/>
              </w:rPr>
              <w:t>№</w:t>
            </w:r>
            <w:r w:rsidR="00F17DB3"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9475F1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 </w:t>
            </w:r>
            <w:r w:rsidR="00626DD5"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справка, подтверждающая факт установления инвалидности, - для лиц, усыновивших ребенка-инвалида;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документы, подтверждающие родственные отношения детей, - для лиц, усыновивших братьев и (или) сестер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9475F1" w:rsidRDefault="003E54B9" w:rsidP="003E5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 xml:space="preserve">Документы,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п. «в» и «г»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3E54B9" w:rsidRDefault="003E54B9" w:rsidP="003E54B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4B9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и выплаты пособия в случае установления опеки (попечительства) или передачи в приемную семью помимо вышеуказанных документов, представляются следующие документы, подтверждающие отсутствие родителей (единственного родителя) или невозможность воспитания ими (им) детей: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3E54B9" w:rsidP="003E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A9240F" w:rsidRPr="00A9240F" w:rsidRDefault="00B910A0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смерти родителей;</w:t>
            </w:r>
            <w:r w:rsidR="003E54B9">
              <w:t xml:space="preserve"> 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26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626DD5" w:rsidRDefault="003E54B9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заявление родителей о согласии на усыновление (удочерение) ребенка, оформленное в установленном порядке;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  <w:r>
              <w:t xml:space="preserve">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  <w:r>
              <w:t xml:space="preserve">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3E54B9" w:rsidRPr="003E54B9" w:rsidRDefault="00B910A0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рождении, в строках "мать" и</w:t>
            </w:r>
            <w:r w:rsidR="003E54B9">
              <w:rPr>
                <w:rFonts w:ascii="Times New Roman" w:hAnsi="Times New Roman"/>
                <w:sz w:val="24"/>
                <w:szCs w:val="24"/>
              </w:rPr>
              <w:t xml:space="preserve"> "отец" которого стоят прочерки;</w:t>
            </w:r>
            <w:r w:rsidR="003E54B9">
              <w:t xml:space="preserve"> 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Default="00D8104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D81049" w:rsidRPr="003E54B9" w:rsidRDefault="00D8104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матерей). 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 w:rsidR="00EF4EA8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Pr="003C2046" w:rsidRDefault="00D81049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049" w:rsidRPr="00D81049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сведения из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раздела 2 Административного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</w:t>
            </w:r>
            <w:r w:rsidR="00D81049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EF4EA8">
              <w:rPr>
                <w:rFonts w:ascii="Times New Roman" w:hAnsi="Times New Roman"/>
                <w:sz w:val="24"/>
                <w:szCs w:val="24"/>
              </w:rPr>
              <w:t>, предусмотренных действующим законодательством.</w:t>
            </w:r>
            <w:r w:rsidR="003A7E72" w:rsidRPr="003A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3C2046" w:rsidRDefault="00D81049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Право на единовременное пособие при всех формах устройства детей, лишенных родительского попечения, в семью имеет один из усыновителей, опекунов (по</w:t>
            </w:r>
            <w:r>
              <w:rPr>
                <w:rFonts w:ascii="Times New Roman" w:hAnsi="Times New Roman"/>
                <w:sz w:val="24"/>
                <w:szCs w:val="24"/>
              </w:rPr>
              <w:t>печителей), приемных родителей.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D81049" w:rsidRDefault="003A7E72" w:rsidP="00D8104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В случае передачи на воспитание в семью двух и более детей пособие выплачивается на каждого ребенка.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D8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D81049">
              <w:rPr>
                <w:rFonts w:ascii="Times New Roman" w:hAnsi="Times New Roman"/>
                <w:sz w:val="24"/>
                <w:szCs w:val="24"/>
              </w:rPr>
              <w:t>, отсутствуют.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B3835">
              <w:rPr>
                <w:rFonts w:ascii="Times New Roman" w:hAnsi="Times New Roman"/>
                <w:sz w:val="24"/>
                <w:szCs w:val="24"/>
              </w:rPr>
              <w:t xml:space="preserve">назначении единовременной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выплаты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делами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3.2.2.2.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E379D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15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исполнения указанной административной процедуры – от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F17DB3" w:rsidP="009B728A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 Отдела  рассматривает поступившее заявление, принимает решение о </w:t>
            </w:r>
            <w:r w:rsidR="007D0F8B">
              <w:rPr>
                <w:szCs w:val="24"/>
              </w:rPr>
              <w:t xml:space="preserve">назначении  </w:t>
            </w:r>
            <w:r w:rsidRPr="00CE385F">
              <w:rPr>
                <w:szCs w:val="24"/>
              </w:rPr>
              <w:t>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5C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F17DB3" w:rsidRPr="003C2046" w:rsidRDefault="00F17DB3" w:rsidP="00D8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81049">
              <w:rPr>
                <w:rFonts w:ascii="Times New Roman" w:hAnsi="Times New Roman"/>
                <w:sz w:val="24"/>
                <w:szCs w:val="24"/>
              </w:rPr>
              <w:t>назначении единовременной выплаты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9B728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 Постановление Администраци</w:t>
            </w:r>
            <w:r w:rsidR="00E00390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E00390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E00390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E00390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3A7E72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E00390">
              <w:rPr>
                <w:rFonts w:ascii="Times New Roman" w:hAnsi="Times New Roman"/>
                <w:sz w:val="24"/>
                <w:szCs w:val="24"/>
                <w:lang w:eastAsia="en-US"/>
              </w:rPr>
              <w:t>ГО «горд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00390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0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E00390">
        <w:rPr>
          <w:rFonts w:ascii="Times New Roman" w:hAnsi="Times New Roman"/>
          <w:sz w:val="24"/>
          <w:szCs w:val="24"/>
        </w:rPr>
        <w:t>ГО «горд Дербент»</w:t>
      </w:r>
    </w:p>
    <w:p w:rsidR="009B728A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9B728A"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9B728A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5A3DBC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A44227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AB3835" w:rsidRPr="0070489F" w:rsidRDefault="00AB3835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AB3835" w:rsidRPr="0070489F" w:rsidRDefault="00AB3835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AB3835" w:rsidRPr="0070489F" w:rsidRDefault="00AB3835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AB3835" w:rsidRDefault="00AB3835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44227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AB3835" w:rsidRDefault="00AB3835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44227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от </w:t>
      </w:r>
      <w:r w:rsidR="00B15A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B15A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AB3835" w:rsidRDefault="00AB3835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B15A39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A44227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AB3835" w:rsidRDefault="00AB3835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AB3835" w:rsidRPr="00541FDF" w:rsidRDefault="00AB3835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AB3835" w:rsidRDefault="00AB3835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AB3835" w:rsidRPr="00541FDF" w:rsidRDefault="00AB3835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44227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AB3835" w:rsidRDefault="00AB3835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A44227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AB3835" w:rsidRPr="00BD2E5A" w:rsidRDefault="00AB3835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AB3835" w:rsidRDefault="00AB3835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44227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B3835" w:rsidRDefault="00AB3835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A44227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B3835" w:rsidRDefault="00AB3835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AB3835" w:rsidRDefault="00AB3835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AB3835" w:rsidRDefault="00AB3835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A4422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AB3835" w:rsidRDefault="00AB3835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44227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AB3835" w:rsidRDefault="00AB3835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B3835" w:rsidRPr="00AB3835" w:rsidRDefault="00AB3835" w:rsidP="00AB3835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В орган опеки (попечительства) 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наименование муниципального образования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гражданина(-ки) 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гражданство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Ф.И.О. , дата рождения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паспорт 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№,  когда и кем выдан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сведения о месте жительства, месте пребывания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(на основании записи в паспорте или документе,  подтверждающем регистрация, </w:t>
      </w:r>
      <w:r>
        <w:rPr>
          <w:rFonts w:ascii="Times New Roman" w:eastAsia="Calibri" w:hAnsi="Times New Roman"/>
          <w:sz w:val="16"/>
          <w:szCs w:val="16"/>
          <w:lang w:eastAsia="en-US"/>
        </w:rPr>
        <w:t>с указанием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почтового индекса)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фактически проживающего (-ей) по адресу 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(почтовый индекс):______________________________ 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ЗАЯВЛЕНИЕ </w:t>
      </w:r>
    </w:p>
    <w:p w:rsidR="00AB3835" w:rsidRPr="00AB3835" w:rsidRDefault="00AB3835" w:rsidP="00AB3835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Я, _______________________________________________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основании: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решения суда ___________________ города/района от 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дата вынесения решения суда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об   установлении усыновления 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Ф.И.О. 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мной (и моей супругой /супругом 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___________)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вступившего в законную силу _______________ ;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дата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постановления администрации  _________________________ города/района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___________ № ___________ об установлении опеки (попечительства) над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_________________________________________________________________;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Ф.И.О.,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договора от ___________ №____________ о передаче мне (и моей /моему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супруге/супругу __________________________ ) ______________________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Ф.И.О.                                                                                      Ф.И.О., дата рождения ребенка 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 в приемную семью, заключенного с органом опеки________ _____________________________________________________города/района,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прошу назначить и выплатить мне единовременное пособие при передаче ребенка на воспитание в семью в соответствии с Федеральным законом  "О государственных пособиях гражданам, имеющим детей"  на ______________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Ф.И.О., дата рождения ребенка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Прошу произвести выплаты мне лично / на счет открытый в кредитной организации _____________________________________________________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банковские реквизиты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lastRenderedPageBreak/>
        <w:t>Единовременное   пособие   мне    ( и моей/моему   супруге/супругу)  на ребенка ранее не назначалось и не  выплачивалось.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Отмена усыновления, опеки (попечительства), расторжение договора о приемной семье в отношении ребенка 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B3835">
        <w:rPr>
          <w:rFonts w:ascii="Times New Roman" w:hAnsi="Times New Roman"/>
          <w:sz w:val="16"/>
          <w:szCs w:val="16"/>
        </w:rPr>
        <w:t xml:space="preserve">Ф.И.О., дата рождения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не производились.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Об ответственности за достоверность представленных сведений предупрежден (предупреждена).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образования, науки и молодежной политики РД, Министерства финансов РД, Министерства образования и науки РФ. Даю согласие органу опеки (попечительства) на обработку, использование и хранение моих персональных данных, содержащихся в настоящем заявлении, и  документах прилагаемых к нему.   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2.___________________________________________________________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3.___________________________________________________________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(перечисляются документы: копии паспорта, свидетельства о рождении ребенка, решения суда, (постановления администрации города/района или договора о передаче ребенка в приемную семью),  выписка с кредитной организации об открытии счета, копии документов, подтверждающих правовой статус ребенка и др.)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Я, __________________________________________________________,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Ф.И.О. супруга/супруги, паспортные данные, адрес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даю свое согласие на назначение и выплату единовременного пособия  моему супругу/ супруге на __________________________________________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Ф.И.О., дата рождения ребенка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(для супружеских пар, совместно усыновивших ребенка или принявших в приемную семью)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Сведения о законном представителе  (доверенном лице) **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Ф.И.О.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Почтовый адрес места жительства : 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B3835">
        <w:rPr>
          <w:rFonts w:ascii="Times New Roman" w:hAnsi="Times New Roman"/>
          <w:sz w:val="16"/>
          <w:szCs w:val="16"/>
        </w:rPr>
        <w:t xml:space="preserve">место пребывания, фактического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Паспорт серия  ________  №__________ выдан 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наименование органа, выдавшего паспорт, дата выдачи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Документ подтверждающий полномочия законного представителя 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 , выдан ___________________________________________                           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наименование, номер                                                наименование органа, выдавшего документ, дата выдачи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"____"_______20____г.                             _________________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супруги/супруга с расшифровкой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&lt;*&gt; Пособие назначается и выплачивается не позднее 10 дней с даты приема (регистрации) заявления со всеми необходимыми документами.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&lt;**&gt; Сведения указываются в случае подачи заявления лицом, имеющим право на получение пособий, через законного представителя или доверенное лицо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606F9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3606F9" w:rsidRPr="003606F9" w:rsidRDefault="003606F9" w:rsidP="003606F9">
      <w:pPr>
        <w:jc w:val="center"/>
        <w:rPr>
          <w:rFonts w:ascii="Times New Roman" w:hAnsi="Times New Roman"/>
          <w:sz w:val="18"/>
          <w:szCs w:val="18"/>
        </w:rPr>
      </w:pPr>
      <w:r w:rsidRPr="003606F9">
        <w:rPr>
          <w:rFonts w:ascii="Times New Roman" w:hAnsi="Times New Roman"/>
          <w:sz w:val="18"/>
          <w:szCs w:val="18"/>
        </w:rPr>
        <w:t>(Ф.И.О., подпись работника)</w:t>
      </w:r>
      <w:r w:rsidRPr="003606F9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3606F9" w:rsidRPr="003606F9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27" w:rsidRDefault="00A44227" w:rsidP="005C48FB">
      <w:pPr>
        <w:spacing w:after="0" w:line="240" w:lineRule="auto"/>
      </w:pPr>
      <w:r>
        <w:separator/>
      </w:r>
    </w:p>
  </w:endnote>
  <w:endnote w:type="continuationSeparator" w:id="0">
    <w:p w:rsidR="00A44227" w:rsidRDefault="00A44227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AB3835" w:rsidRDefault="00DE68F7">
        <w:pPr>
          <w:pStyle w:val="af4"/>
          <w:jc w:val="center"/>
        </w:pPr>
        <w:r>
          <w:fldChar w:fldCharType="begin"/>
        </w:r>
        <w:r w:rsidR="00AB3835">
          <w:instrText xml:space="preserve"> PAGE   \* MERGEFORMAT </w:instrText>
        </w:r>
        <w:r>
          <w:fldChar w:fldCharType="separate"/>
        </w:r>
        <w:r w:rsidR="00AA2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27" w:rsidRDefault="00A44227" w:rsidP="005C48FB">
      <w:pPr>
        <w:spacing w:after="0" w:line="240" w:lineRule="auto"/>
      </w:pPr>
      <w:r>
        <w:separator/>
      </w:r>
    </w:p>
  </w:footnote>
  <w:footnote w:type="continuationSeparator" w:id="0">
    <w:p w:rsidR="00A44227" w:rsidRDefault="00A44227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02D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1A6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1FCA"/>
    <w:rsid w:val="0022295B"/>
    <w:rsid w:val="00234F37"/>
    <w:rsid w:val="00237F98"/>
    <w:rsid w:val="002577CC"/>
    <w:rsid w:val="00264D0D"/>
    <w:rsid w:val="00291FBA"/>
    <w:rsid w:val="002A2A77"/>
    <w:rsid w:val="002A2DCB"/>
    <w:rsid w:val="002B2F95"/>
    <w:rsid w:val="002B336C"/>
    <w:rsid w:val="002C7FC4"/>
    <w:rsid w:val="002D67C9"/>
    <w:rsid w:val="002E5861"/>
    <w:rsid w:val="00314C79"/>
    <w:rsid w:val="003152AC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06F9"/>
    <w:rsid w:val="00361F6E"/>
    <w:rsid w:val="00366843"/>
    <w:rsid w:val="00367B97"/>
    <w:rsid w:val="00370092"/>
    <w:rsid w:val="00375B52"/>
    <w:rsid w:val="003777FC"/>
    <w:rsid w:val="003803E2"/>
    <w:rsid w:val="0038047F"/>
    <w:rsid w:val="0038207E"/>
    <w:rsid w:val="00394CDB"/>
    <w:rsid w:val="003960ED"/>
    <w:rsid w:val="003A7E72"/>
    <w:rsid w:val="003B4984"/>
    <w:rsid w:val="003B5265"/>
    <w:rsid w:val="003C2046"/>
    <w:rsid w:val="003D4D0F"/>
    <w:rsid w:val="003D5F82"/>
    <w:rsid w:val="003E2089"/>
    <w:rsid w:val="003E54B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B0AC2"/>
    <w:rsid w:val="004B290B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2DD3"/>
    <w:rsid w:val="005C400B"/>
    <w:rsid w:val="005C48FB"/>
    <w:rsid w:val="005D18B7"/>
    <w:rsid w:val="005D2320"/>
    <w:rsid w:val="005E4EAF"/>
    <w:rsid w:val="005F719A"/>
    <w:rsid w:val="0060534D"/>
    <w:rsid w:val="00607BD0"/>
    <w:rsid w:val="00620F5F"/>
    <w:rsid w:val="0062145A"/>
    <w:rsid w:val="00626768"/>
    <w:rsid w:val="00626DD5"/>
    <w:rsid w:val="00633D20"/>
    <w:rsid w:val="00643802"/>
    <w:rsid w:val="006450F3"/>
    <w:rsid w:val="0065466E"/>
    <w:rsid w:val="00654A74"/>
    <w:rsid w:val="00664446"/>
    <w:rsid w:val="00664C6E"/>
    <w:rsid w:val="00665968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2882"/>
    <w:rsid w:val="007A5711"/>
    <w:rsid w:val="007B5C23"/>
    <w:rsid w:val="007D0F8B"/>
    <w:rsid w:val="007D62A4"/>
    <w:rsid w:val="007F0233"/>
    <w:rsid w:val="00801CAF"/>
    <w:rsid w:val="00802D3F"/>
    <w:rsid w:val="00805CAF"/>
    <w:rsid w:val="008107AC"/>
    <w:rsid w:val="00810986"/>
    <w:rsid w:val="00811536"/>
    <w:rsid w:val="00811F97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46DE"/>
    <w:rsid w:val="00916C72"/>
    <w:rsid w:val="00917571"/>
    <w:rsid w:val="00933B02"/>
    <w:rsid w:val="00936910"/>
    <w:rsid w:val="00947558"/>
    <w:rsid w:val="009475F1"/>
    <w:rsid w:val="00950559"/>
    <w:rsid w:val="00957F19"/>
    <w:rsid w:val="00981B70"/>
    <w:rsid w:val="009A7C52"/>
    <w:rsid w:val="009B728A"/>
    <w:rsid w:val="009C4298"/>
    <w:rsid w:val="009D0725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44227"/>
    <w:rsid w:val="00A52F06"/>
    <w:rsid w:val="00A61796"/>
    <w:rsid w:val="00A74ECF"/>
    <w:rsid w:val="00A75D17"/>
    <w:rsid w:val="00A9240F"/>
    <w:rsid w:val="00A92B39"/>
    <w:rsid w:val="00AA20AC"/>
    <w:rsid w:val="00AA48A2"/>
    <w:rsid w:val="00AB3835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A39"/>
    <w:rsid w:val="00B15DC3"/>
    <w:rsid w:val="00B25605"/>
    <w:rsid w:val="00B347F5"/>
    <w:rsid w:val="00B40E24"/>
    <w:rsid w:val="00B60CF5"/>
    <w:rsid w:val="00B72FA0"/>
    <w:rsid w:val="00B8152A"/>
    <w:rsid w:val="00B86733"/>
    <w:rsid w:val="00B910A0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BF778F"/>
    <w:rsid w:val="00C133AE"/>
    <w:rsid w:val="00C22E7E"/>
    <w:rsid w:val="00C2432F"/>
    <w:rsid w:val="00C3160B"/>
    <w:rsid w:val="00C361E1"/>
    <w:rsid w:val="00C3643C"/>
    <w:rsid w:val="00C42550"/>
    <w:rsid w:val="00C4670F"/>
    <w:rsid w:val="00C50258"/>
    <w:rsid w:val="00C5059D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D01F07"/>
    <w:rsid w:val="00D02778"/>
    <w:rsid w:val="00D0492D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1049"/>
    <w:rsid w:val="00D84234"/>
    <w:rsid w:val="00D861D1"/>
    <w:rsid w:val="00D86701"/>
    <w:rsid w:val="00D87057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DE68F7"/>
    <w:rsid w:val="00E00390"/>
    <w:rsid w:val="00E2215B"/>
    <w:rsid w:val="00E24BC5"/>
    <w:rsid w:val="00E265B5"/>
    <w:rsid w:val="00E379D5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F460B873-10C4-4600-93FE-54D4E54F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902A-70D5-4119-9E76-E9FE7EBA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204</cp:revision>
  <cp:lastPrinted>2014-09-12T14:37:00Z</cp:lastPrinted>
  <dcterms:created xsi:type="dcterms:W3CDTF">2012-02-15T05:56:00Z</dcterms:created>
  <dcterms:modified xsi:type="dcterms:W3CDTF">2016-02-19T07:30:00Z</dcterms:modified>
</cp:coreProperties>
</file>