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sz w:val="28"/>
        </w:rPr>
        <w:t>П</w:t>
      </w:r>
      <w:bookmarkStart w:id="1" w:name="_GoBack"/>
      <w:bookmarkEnd w:id="1"/>
      <w:r>
        <w:rPr>
          <w:rStyle w:val="Style_4_ch"/>
          <w:rFonts w:ascii="Times New Roman" w:hAnsi="Times New Roman"/>
          <w:sz w:val="28"/>
        </w:rPr>
        <w:t xml:space="preserve">рокуратура </w:t>
      </w:r>
      <w:r>
        <w:rPr>
          <w:rStyle w:val="Style_4_ch"/>
          <w:rFonts w:ascii="Times New Roman" w:hAnsi="Times New Roman"/>
          <w:sz w:val="28"/>
        </w:rPr>
        <w:t xml:space="preserve">города Дербента </w:t>
      </w:r>
      <w:r>
        <w:rPr>
          <w:rStyle w:val="Style_4_ch"/>
          <w:rFonts w:ascii="Times New Roman" w:hAnsi="Times New Roman"/>
          <w:sz w:val="28"/>
        </w:rPr>
        <w:t>разъясняет</w:t>
      </w:r>
      <w:r>
        <w:rPr>
          <w:rFonts w:ascii="Times New Roman" w:hAnsi="Times New Roman"/>
          <w:b w:val="0"/>
          <w:sz w:val="28"/>
        </w:rPr>
        <w:t>:</w:t>
      </w:r>
    </w:p>
    <w:p w14:paraId="06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Принимают ли «уклонистов» на государственную службу?</w:t>
      </w:r>
    </w:p>
    <w:p w14:paraId="0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Воинская обязанность граждан Российской Федерации в соответствии со статьей 1 Федерального закона от 28.03.1998 № 53-ФЗ «О воинской обязанности и военной службе» (далее - Закон) предусматривает: воинский учет; обязательную подготовку к военной службе; призыв на военную службу; прохождение военной службы по призыву; пребывание в запасе; призыв на военные сборы и прохождение военных сборов в период пребывания в запасе</w:t>
      </w:r>
      <w:r>
        <w:rPr>
          <w:rFonts w:ascii="Times New Roman" w:hAnsi="Times New Roman"/>
          <w:sz w:val="28"/>
        </w:rPr>
        <w:t>.</w:t>
      </w:r>
    </w:p>
    <w:p w14:paraId="09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>В соответствии со статьей 22 Закона призыву на военную службу подлежат граждане мужского пола в возрасте от 18 до 27 лет, состоящие на воинском учете или не состоящие, но обязанные состоять на воинском учете и не пребывающие в запасе. Призыв на военную службу граждан, не пребывающих в запасе, осуществляется два раза в год - с 1 апреля по 15 июля и с 1 октября по 31 декабря.</w:t>
      </w:r>
    </w:p>
    <w:p w14:paraId="0A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>Вместе с тем на такую службу не призываются граждане, которые освобождены от исполнения воинской обязанности, призыва на военную службу, граждане, которым предоставлена отсрочка от призыва на военную службу, а также граждане, не подлежащие призыву на военную службу.</w:t>
      </w:r>
    </w:p>
    <w:p w14:paraId="0B000000">
      <w:pPr>
        <w:pStyle w:val="Style_5"/>
        <w:widowControl w:val="1"/>
        <w:spacing w:after="0" w:before="30"/>
        <w:ind w:firstLine="708"/>
        <w:jc w:val="both"/>
        <w:rPr>
          <w:sz w:val="28"/>
        </w:rPr>
      </w:pPr>
      <w:r>
        <w:rPr>
          <w:sz w:val="28"/>
        </w:rPr>
        <w:t>От призыва на военную службу освобождаются граждане:</w:t>
      </w:r>
    </w:p>
    <w:p w14:paraId="0C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а) признанные ограниченно годными к военной службе по состоянию здоровья;</w:t>
      </w:r>
    </w:p>
    <w:p w14:paraId="0D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б) проходящие или прошедшие военную службу в Российской Федерации;</w:t>
      </w:r>
    </w:p>
    <w:p w14:paraId="0E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 xml:space="preserve">в) </w:t>
      </w:r>
      <w:r>
        <w:rPr>
          <w:sz w:val="28"/>
        </w:rPr>
        <w:t>проходящие</w:t>
      </w:r>
      <w:r>
        <w:rPr>
          <w:sz w:val="28"/>
        </w:rPr>
        <w:t xml:space="preserve"> или прошедшие альтернативную гражданскую службу;</w:t>
      </w:r>
    </w:p>
    <w:p w14:paraId="0F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г) прошедшие военную службу в другом государстве в случаях, предусмотренных международными договорами Российской Федерации;</w:t>
      </w:r>
    </w:p>
    <w:p w14:paraId="10000000">
      <w:pPr>
        <w:pStyle w:val="Style_5"/>
        <w:widowControl w:val="1"/>
        <w:spacing w:after="0" w:before="30"/>
        <w:ind w:firstLine="708"/>
        <w:jc w:val="both"/>
        <w:rPr>
          <w:sz w:val="28"/>
        </w:rPr>
      </w:pPr>
      <w:r>
        <w:rPr>
          <w:sz w:val="28"/>
        </w:rPr>
        <w:t>Право на освобождение от призыва на военную службу имеют граждане:</w:t>
      </w:r>
    </w:p>
    <w:p w14:paraId="11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а) имеющие предусмотренную государственной системой научной аттестации ученую степень;</w:t>
      </w:r>
    </w:p>
    <w:p w14:paraId="12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 xml:space="preserve">б) </w:t>
      </w:r>
      <w:r>
        <w:rPr>
          <w:sz w:val="28"/>
        </w:rPr>
        <w:t>являющиеся</w:t>
      </w:r>
      <w:r>
        <w:rPr>
          <w:sz w:val="28"/>
        </w:rPr>
        <w:t xml:space="preserve"> сыновьями (родными братьями):</w:t>
      </w:r>
      <w:r>
        <w:rPr>
          <w:sz w:val="28"/>
        </w:rPr>
        <w:t xml:space="preserve"> </w:t>
      </w:r>
    </w:p>
    <w:p w14:paraId="13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военнослужащих, проходивших военную службу по призыву, погибших (умерших) в связи с исполнением ими обязанностей военной службы, и граждан, проходивших военные сборы, погибших (умерших) в связи с исполнением ими обязанностей военной службы в период прохождения военных сборов;</w:t>
      </w:r>
    </w:p>
    <w:p w14:paraId="14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 xml:space="preserve"> - </w:t>
      </w:r>
      <w:r>
        <w:rPr>
          <w:sz w:val="28"/>
        </w:rPr>
        <w:t>граждан, умерших вследствие увечья (ранения, травмы, контузии) либо заболевания, полученных в связи с исполнением ими обязанностей военной службы в период прохождения военной службы по призыву, после увольнения с военной службы либо после отчисления с военных сборов или окончания военных сборов.</w:t>
      </w:r>
    </w:p>
    <w:p w14:paraId="15000000">
      <w:pPr>
        <w:pStyle w:val="Style_5"/>
        <w:widowControl w:val="1"/>
        <w:spacing w:after="0" w:before="30"/>
        <w:ind w:firstLine="708"/>
        <w:jc w:val="both"/>
        <w:rPr>
          <w:sz w:val="28"/>
        </w:rPr>
      </w:pPr>
      <w:r>
        <w:rPr>
          <w:sz w:val="28"/>
        </w:rPr>
        <w:t>Не подлежат призыву на военную службу граждане:</w:t>
      </w:r>
    </w:p>
    <w:p w14:paraId="16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а) отбывающие наказание в виде обязательных работ, исправительных работ, ограничения свободы, ареста или лишения свободы;</w:t>
      </w:r>
    </w:p>
    <w:p w14:paraId="17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б) имеющие неснятую или непогашенную судимость за совершение преступления;</w:t>
      </w:r>
    </w:p>
    <w:p w14:paraId="18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 xml:space="preserve">в) в отношении </w:t>
      </w:r>
      <w:r>
        <w:rPr>
          <w:sz w:val="28"/>
        </w:rPr>
        <w:t>которых</w:t>
      </w:r>
      <w:r>
        <w:rPr>
          <w:sz w:val="28"/>
        </w:rPr>
        <w:t xml:space="preserve"> ведется дознание либо предварительное следствие или уголовное дело в отношении которых передано в суд.</w:t>
      </w:r>
    </w:p>
    <w:p w14:paraId="19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Граждане, признанные не годными к военной службе по состоянию здоровья, освобождаются от исполнения воинской обязанности.</w:t>
      </w:r>
    </w:p>
    <w:p w14:paraId="1A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>В соответствии с частью 1 статьи 328 Уголовного кодекса Российской Федерации уклонение от призыва на военную службу при отсутствии законных оснований для освобождения от этой службы наказывается штрафом в размере до двухсот тысяч рублей или в размере заработной платы или иного дохода осужденного за период до восемнадцати месяцев, либо принудительными работами на срок до двух лет, либо арестом на срок</w:t>
      </w:r>
      <w:r>
        <w:rPr>
          <w:sz w:val="28"/>
        </w:rPr>
        <w:t xml:space="preserve"> до шести месяцев, либо лишением свободы на срок до двух лет.</w:t>
      </w:r>
    </w:p>
    <w:p w14:paraId="1B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>Под уклонением от призыва на военную службу понимается:</w:t>
      </w:r>
    </w:p>
    <w:p w14:paraId="1C000000">
      <w:pPr>
        <w:pStyle w:val="Style_5"/>
        <w:widowControl w:val="1"/>
        <w:spacing w:after="0" w:before="0"/>
        <w:ind/>
        <w:jc w:val="both"/>
        <w:rPr>
          <w:sz w:val="28"/>
        </w:rPr>
      </w:pPr>
      <w:r>
        <w:rPr>
          <w:sz w:val="28"/>
        </w:rPr>
        <w:t>- неявка без уважительных причин по повесткам военного комиссариата на медицинское освидетельствование, заседание призывной комиссии или в военный комиссариат (военный комиссариат субъекта Российской Федерации) для отправки к месту прохождения военной службы;</w:t>
      </w:r>
    </w:p>
    <w:p w14:paraId="1D000000">
      <w:pPr>
        <w:pStyle w:val="Style_5"/>
        <w:widowControl w:val="1"/>
        <w:spacing w:after="0" w:before="0"/>
        <w:ind/>
        <w:jc w:val="both"/>
        <w:rPr>
          <w:sz w:val="28"/>
        </w:rPr>
      </w:pPr>
      <w:r>
        <w:rPr>
          <w:sz w:val="28"/>
        </w:rPr>
        <w:t>- неявка в военный комиссариат по истечении действия уважительной причины;</w:t>
      </w:r>
    </w:p>
    <w:p w14:paraId="1E000000">
      <w:pPr>
        <w:pStyle w:val="Style_5"/>
        <w:widowControl w:val="1"/>
        <w:spacing w:after="0" w:before="0"/>
        <w:ind/>
        <w:jc w:val="both"/>
        <w:rPr>
          <w:sz w:val="28"/>
        </w:rPr>
      </w:pPr>
      <w:r>
        <w:rPr>
          <w:sz w:val="28"/>
        </w:rPr>
        <w:t xml:space="preserve">- самовольное оставление призывником сборного пункта </w:t>
      </w:r>
      <w:r>
        <w:rPr>
          <w:sz w:val="28"/>
        </w:rPr>
        <w:t>до отправки его к месту прохождения военной службы в целях уклонения от призыва на военную службу</w:t>
      </w:r>
      <w:r>
        <w:rPr>
          <w:sz w:val="28"/>
        </w:rPr>
        <w:t>;</w:t>
      </w:r>
    </w:p>
    <w:p w14:paraId="1F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- получение обманным путем освобождения от военной службы в результате симуляции болезни, причинения себе какого-либо повреждения, подлога документов или иного обмана (в случае дачи взятки должностным лицам военкомата либо медицинским работникам ответственность также наступит за коррупционное преступление).</w:t>
      </w:r>
    </w:p>
    <w:p w14:paraId="20000000">
      <w:pPr>
        <w:pStyle w:val="Style_5"/>
        <w:widowControl w:val="1"/>
        <w:spacing w:after="0" w:before="30"/>
        <w:ind w:firstLine="708"/>
        <w:jc w:val="both"/>
        <w:rPr>
          <w:sz w:val="28"/>
        </w:rPr>
      </w:pPr>
      <w:r>
        <w:rPr>
          <w:sz w:val="28"/>
        </w:rPr>
        <w:t>Согласно части 2 статьи 7 Закона уважительными причинами неявки гражданина по повестке при условии документального подтверждения причины неявки признаются:</w:t>
      </w:r>
    </w:p>
    <w:p w14:paraId="21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- заболевание или увечье, связанные с утратой трудоспособности;</w:t>
      </w:r>
    </w:p>
    <w:p w14:paraId="22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- тяжелое состояние здоровья отца, матери, жены, мужа, сына, дочери, родного брата, родной сестры, дедушки, бабушки или усыновителя гражданина либо участие в похоронах указанных лиц;</w:t>
      </w:r>
    </w:p>
    <w:p w14:paraId="23000000">
      <w:pPr>
        <w:pStyle w:val="Style_5"/>
        <w:widowControl w:val="1"/>
        <w:spacing w:after="0" w:before="30"/>
        <w:ind/>
        <w:jc w:val="both"/>
        <w:rPr>
          <w:sz w:val="28"/>
        </w:rPr>
      </w:pPr>
      <w:r>
        <w:rPr>
          <w:sz w:val="28"/>
        </w:rPr>
        <w:t>- препятствие, возникшее в результате действия непреодолимой силы, или иное обстоятельство, не зависящее от воли гражданина, а также иные причины, признанные уважительными призывной комиссией, комиссией по первоначальной постановке на воинский учет или судом.</w:t>
      </w:r>
    </w:p>
    <w:p w14:paraId="24000000">
      <w:pPr>
        <w:pStyle w:val="Style_5"/>
        <w:widowControl w:val="1"/>
        <w:spacing w:after="0" w:before="30"/>
        <w:ind w:firstLine="708"/>
        <w:jc w:val="both"/>
        <w:rPr>
          <w:sz w:val="28"/>
        </w:rPr>
      </w:pPr>
      <w:r>
        <w:rPr>
          <w:sz w:val="28"/>
        </w:rPr>
        <w:t>Оповещение призывников о явке осуществляется повестками военного комиссариата. Вручение призывнику повесток производится под расписку.</w:t>
      </w:r>
    </w:p>
    <w:p w14:paraId="25000000">
      <w:pPr>
        <w:pStyle w:val="Style_5"/>
        <w:widowControl w:val="1"/>
        <w:spacing w:after="0" w:before="30"/>
        <w:ind w:firstLine="708"/>
        <w:jc w:val="both"/>
        <w:rPr>
          <w:sz w:val="28"/>
        </w:rPr>
      </w:pPr>
      <w:r>
        <w:rPr>
          <w:sz w:val="28"/>
        </w:rPr>
        <w:t>В случае направления призывной комиссией призывника на стационарное или амбулаторное медицинское обследование (лечение) надлежащим оповещением следует считать вручение ему под личную подпись направления, в котором назначается срок явки в военный комиссариат для повторного медицинского освидетельствования и прохождения призывной комиссии после предполагаемого срока завершения этого обследования (лечения).</w:t>
      </w:r>
    </w:p>
    <w:p w14:paraId="26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 xml:space="preserve">Отказ призывника от получения повестки военного комиссариата или направления призывной комиссии под расписку с целью </w:t>
      </w:r>
      <w:r>
        <w:rPr>
          <w:sz w:val="28"/>
        </w:rPr>
        <w:t>уклониться</w:t>
      </w:r>
      <w:r>
        <w:rPr>
          <w:sz w:val="28"/>
        </w:rPr>
        <w:t xml:space="preserve"> таким образом от призыва на военную службу также может квалифицироваться по части 1 статьи 328 Уголовного кодекса Российской Федерации.</w:t>
      </w:r>
    </w:p>
    <w:p w14:paraId="27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 xml:space="preserve">В силу статьи 27 Закона при зачислении в запас </w:t>
      </w:r>
      <w:r>
        <w:rPr>
          <w:sz w:val="28"/>
        </w:rPr>
        <w:t>граждан, подлежавших призыву на военную службу и не прошедших ее до достижения ими возраста 27 лет призывная комиссия выносит</w:t>
      </w:r>
      <w:r>
        <w:rPr>
          <w:sz w:val="28"/>
        </w:rPr>
        <w:t xml:space="preserve"> заключение о том, что гражданин не прошел военную службу по призыву, не имея на то законных оснований.</w:t>
      </w:r>
    </w:p>
    <w:p w14:paraId="28000000">
      <w:pPr>
        <w:pStyle w:val="Style_5"/>
        <w:widowControl w:val="1"/>
        <w:spacing w:after="0" w:before="0"/>
        <w:ind w:firstLine="708"/>
        <w:jc w:val="both"/>
        <w:rPr>
          <w:sz w:val="28"/>
        </w:rPr>
      </w:pPr>
      <w:r>
        <w:rPr>
          <w:sz w:val="28"/>
        </w:rPr>
        <w:t>В таком случае гражданин не может быть принят на государственную (муниципальную) службу, а государственный (муниципальный) служащий в случае признания его уклонившимся от прохождения службы подлежит увольнению</w:t>
      </w:r>
      <w:r>
        <w:rPr>
          <w:sz w:val="28"/>
        </w:rPr>
        <w:t>.</w:t>
      </w:r>
    </w:p>
    <w:p w14:paraId="29000000">
      <w:pPr>
        <w:pStyle w:val="Style_5"/>
        <w:widowControl w:val="1"/>
        <w:spacing w:after="150" w:before="30" w:line="315" w:lineRule="atLeast"/>
        <w:ind/>
        <w:rPr>
          <w:rFonts w:asciiTheme="minorAscii" w:hAnsiTheme="minorHAnsi"/>
        </w:rPr>
      </w:pPr>
    </w:p>
    <w:p w14:paraId="2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sectPr>
      <w:headerReference r:id="rId2" w:type="default"/>
      <w:headerReference r:id="rId1" w:type="even"/>
      <w:type w:val="continuous"/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rPr>
        <w:rStyle w:val="Style_2_ch"/>
        <w:rFonts w:ascii="Times New Roman" w:hAnsi="Times New Roman"/>
      </w:rPr>
    </w:pPr>
  </w:p>
  <w:p w14:paraId="03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ody Text 2"/>
    <w:basedOn w:val="Style_6"/>
    <w:link w:val="Style_11_ch"/>
    <w:pPr>
      <w:widowControl w:val="1"/>
      <w:spacing w:after="120" w:line="480" w:lineRule="auto"/>
      <w:ind/>
    </w:pPr>
  </w:style>
  <w:style w:styleId="Style_11_ch" w:type="character">
    <w:name w:val="Body Text 2"/>
    <w:basedOn w:val="Style_6_ch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6"/>
    <w:next w:val="Style_6"/>
    <w:link w:val="Style_13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3_ch" w:type="character">
    <w:name w:val="heading 3"/>
    <w:basedOn w:val="Style_6_ch"/>
    <w:link w:val="Style_13"/>
    <w:rPr>
      <w:rFonts w:ascii="Calibri Light" w:hAnsi="Calibri Light"/>
      <w:b w:val="1"/>
      <w:sz w:val="26"/>
    </w:rPr>
  </w:style>
  <w:style w:styleId="Style_14" w:type="paragraph">
    <w:name w:val="Body Text Indent"/>
    <w:basedOn w:val="Style_6"/>
    <w:link w:val="Style_14_ch"/>
    <w:pPr>
      <w:widowControl w:val="1"/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styleId="Style_14_ch" w:type="character">
    <w:name w:val="Body Text Indent"/>
    <w:basedOn w:val="Style_6_ch"/>
    <w:link w:val="Style_14"/>
    <w:rPr>
      <w:rFonts w:ascii="Times New Roman" w:hAnsi="Times New Roman"/>
      <w:sz w:val="28"/>
    </w:rPr>
  </w:style>
  <w:style w:styleId="Style_4" w:type="paragraph">
    <w:name w:val="Strong"/>
    <w:basedOn w:val="Style_15"/>
    <w:link w:val="Style_4_ch"/>
    <w:rPr>
      <w:b w:val="1"/>
    </w:rPr>
  </w:style>
  <w:style w:styleId="Style_4_ch" w:type="character">
    <w:name w:val="Strong"/>
    <w:basedOn w:val="Style_15_ch"/>
    <w:link w:val="Style_4"/>
    <w:rPr>
      <w:b w:val="1"/>
    </w:rPr>
  </w:style>
  <w:style w:styleId="Style_16" w:type="paragraph">
    <w:name w:val="s_3"/>
    <w:basedOn w:val="Style_6"/>
    <w:link w:val="Style_1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s_3"/>
    <w:basedOn w:val="Style_6_ch"/>
    <w:link w:val="Style_16"/>
    <w:rPr>
      <w:rFonts w:ascii="Times New Roman" w:hAnsi="Times New Roman"/>
      <w:sz w:val="24"/>
    </w:rPr>
  </w:style>
  <w:style w:styleId="Style_17" w:type="paragraph">
    <w:name w:val="detail-news-title"/>
    <w:basedOn w:val="Style_15"/>
    <w:link w:val="Style_17_ch"/>
  </w:style>
  <w:style w:styleId="Style_17_ch" w:type="character">
    <w:name w:val="detail-news-title"/>
    <w:basedOn w:val="Style_15_ch"/>
    <w:link w:val="Style_17"/>
  </w:style>
  <w:style w:styleId="Style_18" w:type="paragraph">
    <w:name w:val="Emphasis"/>
    <w:link w:val="Style_18_ch"/>
    <w:rPr>
      <w:i w:val="1"/>
    </w:rPr>
  </w:style>
  <w:style w:styleId="Style_18_ch" w:type="character">
    <w:name w:val="Emphasis"/>
    <w:link w:val="Style_18"/>
    <w:rPr>
      <w:i w:val="1"/>
    </w:rPr>
  </w:style>
  <w:style w:styleId="Style_19" w:type="paragraph">
    <w:name w:val="toc 3"/>
    <w:next w:val="Style_6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Intense Emphasis"/>
    <w:link w:val="Style_20_ch"/>
    <w:rPr>
      <w:b w:val="1"/>
      <w:i w:val="1"/>
      <w:color w:val="4F81BD"/>
    </w:rPr>
  </w:style>
  <w:style w:styleId="Style_20_ch" w:type="character">
    <w:name w:val="Intense Emphasis"/>
    <w:link w:val="Style_20"/>
    <w:rPr>
      <w:b w:val="1"/>
      <w:i w:val="1"/>
      <w:color w:val="4F81BD"/>
    </w:rPr>
  </w:style>
  <w:style w:styleId="Style_21" w:type="paragraph">
    <w:name w:val="No Spacing"/>
    <w:link w:val="Style_21_ch"/>
    <w:rPr>
      <w:rFonts w:ascii="Times New Roman" w:hAnsi="Times New Roman"/>
    </w:rPr>
  </w:style>
  <w:style w:styleId="Style_21_ch" w:type="character">
    <w:name w:val="No Spacing"/>
    <w:link w:val="Style_21"/>
    <w:rPr>
      <w:rFonts w:ascii="Times New Roman" w:hAnsi="Times New Roman"/>
    </w:rPr>
  </w:style>
  <w:style w:styleId="Style_22" w:type="paragraph">
    <w:name w:val="inline-sep"/>
    <w:basedOn w:val="Style_15"/>
    <w:link w:val="Style_22_ch"/>
  </w:style>
  <w:style w:styleId="Style_22_ch" w:type="character">
    <w:name w:val="inline-sep"/>
    <w:basedOn w:val="Style_15_ch"/>
    <w:link w:val="Style_22"/>
  </w:style>
  <w:style w:styleId="Style_23" w:type="paragraph">
    <w:name w:val="heading 5"/>
    <w:next w:val="Style_6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3" w:type="paragraph">
    <w:name w:val="heading 1"/>
    <w:basedOn w:val="Style_6"/>
    <w:next w:val="Style_6"/>
    <w:link w:val="Style_3_ch"/>
    <w:uiPriority w:val="9"/>
    <w:qFormat/>
    <w:pPr>
      <w:keepNext w:val="1"/>
      <w:widowControl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3_ch" w:type="character">
    <w:name w:val="heading 1"/>
    <w:basedOn w:val="Style_6_ch"/>
    <w:link w:val="Style_3"/>
    <w:rPr>
      <w:rFonts w:ascii="Cambria" w:hAnsi="Cambria"/>
      <w:b w:val="1"/>
      <w:sz w:val="32"/>
    </w:rPr>
  </w:style>
  <w:style w:styleId="Style_24" w:type="paragraph">
    <w:name w:val="Font Style11"/>
    <w:link w:val="Style_24_ch"/>
    <w:rPr>
      <w:rFonts w:ascii="Times New Roman" w:hAnsi="Times New Roman"/>
      <w:sz w:val="26"/>
    </w:rPr>
  </w:style>
  <w:style w:styleId="Style_24_ch" w:type="character">
    <w:name w:val="Font Style11"/>
    <w:link w:val="Style_24"/>
    <w:rPr>
      <w:rFonts w:ascii="Times New Roman" w:hAnsi="Times New Roman"/>
      <w:sz w:val="26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6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footer"/>
    <w:basedOn w:val="Style_6"/>
    <w:link w:val="Style_29_ch"/>
    <w:pPr>
      <w:widowControl w:val="1"/>
      <w:tabs>
        <w:tab w:leader="none" w:pos="4677" w:val="center"/>
        <w:tab w:leader="none" w:pos="9355" w:val="right"/>
      </w:tabs>
      <w:ind/>
    </w:pPr>
  </w:style>
  <w:style w:styleId="Style_29_ch" w:type="character">
    <w:name w:val="footer"/>
    <w:basedOn w:val="Style_6_ch"/>
    <w:link w:val="Style_29"/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5" w:type="paragraph">
    <w:name w:val="Normal (Web)"/>
    <w:basedOn w:val="Style_6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Normal (Web)"/>
    <w:basedOn w:val="Style_6_ch"/>
    <w:link w:val="Style_5"/>
    <w:rPr>
      <w:rFonts w:ascii="Times New Roman" w:hAnsi="Times New Roman"/>
      <w:sz w:val="24"/>
    </w:rPr>
  </w:style>
  <w:style w:styleId="Style_30" w:type="paragraph">
    <w:name w:val="toc 9"/>
    <w:next w:val="Style_6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apple-converted-space"/>
    <w:basedOn w:val="Style_15"/>
    <w:link w:val="Style_31_ch"/>
  </w:style>
  <w:style w:styleId="Style_31_ch" w:type="character">
    <w:name w:val="apple-converted-space"/>
    <w:basedOn w:val="Style_15_ch"/>
    <w:link w:val="Style_31"/>
  </w:style>
  <w:style w:styleId="Style_32" w:type="paragraph">
    <w:name w:val="single-line-meta"/>
    <w:basedOn w:val="Style_6"/>
    <w:link w:val="Style_3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2_ch" w:type="character">
    <w:name w:val="single-line-meta"/>
    <w:basedOn w:val="Style_6_ch"/>
    <w:link w:val="Style_32"/>
    <w:rPr>
      <w:rFonts w:ascii="Times New Roman" w:hAnsi="Times New Roman"/>
      <w:sz w:val="24"/>
    </w:rPr>
  </w:style>
  <w:style w:styleId="Style_2" w:type="paragraph">
    <w:name w:val="page number"/>
    <w:basedOn w:val="Style_15"/>
    <w:link w:val="Style_2_ch"/>
  </w:style>
  <w:style w:styleId="Style_2_ch" w:type="character">
    <w:name w:val="page number"/>
    <w:basedOn w:val="Style_15_ch"/>
    <w:link w:val="Style_2"/>
  </w:style>
  <w:style w:styleId="Style_33" w:type="paragraph">
    <w:name w:val="toc 8"/>
    <w:next w:val="Style_6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ConsNormal"/>
    <w:link w:val="Style_34_ch"/>
    <w:pPr>
      <w:widowControl w:val="0"/>
      <w:ind w:firstLine="720"/>
    </w:pPr>
    <w:rPr>
      <w:rFonts w:ascii="Arial" w:hAnsi="Arial"/>
    </w:rPr>
  </w:style>
  <w:style w:styleId="Style_34_ch" w:type="character">
    <w:name w:val="ConsNormal"/>
    <w:link w:val="Style_34"/>
    <w:rPr>
      <w:rFonts w:ascii="Arial" w:hAnsi="Arial"/>
    </w:rPr>
  </w:style>
  <w:style w:styleId="Style_35" w:type="paragraph">
    <w:name w:val="toc 5"/>
    <w:next w:val="Style_6"/>
    <w:link w:val="Style_3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Plain Text"/>
    <w:basedOn w:val="Style_6"/>
    <w:link w:val="Style_36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36_ch" w:type="character">
    <w:name w:val="Plain Text"/>
    <w:basedOn w:val="Style_6_ch"/>
    <w:link w:val="Style_36"/>
    <w:rPr>
      <w:rFonts w:ascii="Courier New" w:hAnsi="Courier New"/>
      <w:sz w:val="20"/>
    </w:rPr>
  </w:style>
  <w:style w:styleId="Style_37" w:type="paragraph">
    <w:name w:val="ConsPlusNormal"/>
    <w:link w:val="Style_37_ch"/>
    <w:rPr>
      <w:rFonts w:ascii="Arial" w:hAnsi="Arial"/>
    </w:rPr>
  </w:style>
  <w:style w:styleId="Style_37_ch" w:type="character">
    <w:name w:val="ConsPlusNormal"/>
    <w:link w:val="Style_37"/>
    <w:rPr>
      <w:rFonts w:ascii="Arial" w:hAnsi="Arial"/>
    </w:rPr>
  </w:style>
  <w:style w:styleId="Style_38" w:type="paragraph">
    <w:name w:val="Subtitle"/>
    <w:next w:val="Style_6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Balloon Text"/>
    <w:basedOn w:val="Style_6"/>
    <w:link w:val="Style_39_ch"/>
    <w:rPr>
      <w:rFonts w:ascii="Tahoma" w:hAnsi="Tahoma"/>
      <w:sz w:val="16"/>
    </w:rPr>
  </w:style>
  <w:style w:styleId="Style_39_ch" w:type="character">
    <w:name w:val="Balloon Text"/>
    <w:basedOn w:val="Style_6_ch"/>
    <w:link w:val="Style_39"/>
    <w:rPr>
      <w:rFonts w:ascii="Tahoma" w:hAnsi="Tahoma"/>
      <w:sz w:val="16"/>
    </w:rPr>
  </w:style>
  <w:style w:styleId="Style_40" w:type="paragraph">
    <w:name w:val="Title"/>
    <w:next w:val="Style_6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6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42" w:type="paragraph">
    <w:name w:val="heading 2"/>
    <w:basedOn w:val="Style_6"/>
    <w:link w:val="Style_42_ch"/>
    <w:uiPriority w:val="9"/>
    <w:qFormat/>
    <w:pPr>
      <w:widowControl w:val="1"/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42_ch" w:type="character">
    <w:name w:val="heading 2"/>
    <w:basedOn w:val="Style_6_ch"/>
    <w:link w:val="Style_42"/>
    <w:rPr>
      <w:rFonts w:ascii="Times New Roman" w:hAnsi="Times New Roman"/>
      <w:b w:val="1"/>
      <w:sz w:val="36"/>
    </w:rPr>
  </w:style>
  <w:style w:default="1" w:styleId="Style_4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2026-10-07T05:34:00Z</dcterms:created>
  <dcterms:modified xsi:type="dcterms:W3CDTF">2026-10-07T05:46:41Z</dcterms:modified>
</cp:coreProperties>
</file>