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 xml:space="preserve">Прокуратура города Дербента разъясняет: </w:t>
      </w:r>
    </w:p>
    <w:p w14:paraId="02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Новые составы преступлений в сфере компьютерной информации</w:t>
      </w:r>
    </w:p>
    <w:p w14:paraId="03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</w:p>
    <w:p w14:paraId="04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Федеральным законом от 31.07.2025 № 282-ФЗ в Уголовный кодекс Российской Федерации (далее – УК РФ) внесены изменения, связанные с введением с 01.09.2025 новых статей, регламентирующих уголовную </w:t>
      </w:r>
      <w:r>
        <w:rPr>
          <w:rFonts w:ascii="Times New Roman" w:hAnsi="Times New Roman"/>
          <w:sz w:val="28"/>
        </w:rPr>
        <w:t>ответственность за ряд преступлений в сфере компьютерной информации (статьи 2</w:t>
      </w:r>
    </w:p>
    <w:p w14:paraId="05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Частью 1 статьи 274.3 УК РФ предусмотрена ответственность за незаконные использование абонентского терминала пропуска трафика или виртуальной телефонной станции либо обеспечение функционирования абонентского терминала пропуска трафика или его основных частей, совершенные в целях совершения иного преступления либо повлекшие тяжкие последствия.</w:t>
      </w:r>
    </w:p>
    <w:p w14:paraId="06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Ответственность за совершение указанных действий в составе группы лиц по предварительному сговору и в составе организованной группы предусмотрена частями 2 и 3 статьи 274.3 УК РФ соответственно.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Title"/>
    <w:next w:val="Style_1"/>
    <w:link w:val="Style_2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2026-10-07T05:38:45Z</dcterms:created>
  <dcterms:modified xsi:type="dcterms:W3CDTF">2026-10-07T05:38:45Z</dcterms:modified>
</cp:coreProperties>
</file>